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" text:style-name="Internet_20_link" text:visited-style-name="Visited_20_Internet_20_Link">
              <text:span text:style-name="ListLabel_20_28">
                <text:span text:style-name="T8">1 Wat zijn nog verantwoorde risico’s met betrekking tot de Rembrandtbrug? (Inwonersbelangen, 9 mei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"/>
        Wat zijn nog verantwoorde risico’s met betrekking tot de Rembrandtbrug? (Inwonersbelangen, 9 mei 2022)
        <text:bookmark-end text:name="1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Wat zijn nog verantwoorde risico’s met betrekking tot de Rembrandtbrug?
              <text:span text:style-name="T3"/>
            </text:p>
            <text:p text:style-name="P7"/>
          </table:table-cell>
          <table:table-cell table:style-name="Table4.A2" office:value-type="string">
            <text:p text:style-name="P8">09-05-2022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Wat-zijn-nog-verantwoorde-risico-s-met-betrekking-tot-de-Rembrandt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D22061059 Beantwoording vragen Inwonersbelangen | Wat zijn nog verantwoorde risico’s met betrekking tot de Rembrandtbrug
              <text:span text:style-name="T3"/>
            </text:p>
            <text:p text:style-name="P7"/>
          </table:table-cell>
          <table:table-cell table:style-name="Table4.A2" office:value-type="string">
            <text:p text:style-name="P8">15-06-2022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363,27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1059-Beantwoording-vragen-Inwonersbelangen-Wat-zijn-nog-verantwoorde-risico-s-met-betrekking-tot-de-Rembrandt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2" meta:character-count="712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