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15:56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99" text:style-name="Internet_20_link" text:visited-style-name="Visited_20_Internet_20_Link">
              <text:span text:style-name="ListLabel_20_28">
                <text:span text:style-name="T8">1 Schriftelijke vragen Art. 42 van D66 over Tweede Zonneveld realiseren zonder lokaal eigendom (31 juli 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99"/>
        Schriftelijke vragen Art. 42 van D66 over Tweede Zonneveld realiseren zonder lokaal eigendom (31 juli 2025)
        <text:bookmark-end text:name="99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Vraag gesteld door</text:p>
          </table:table-cell>
          <table:table-cell table:style-name="Table3.A1" office:value-type="string">
            <text:p text:style-name="P5">D66</text:p>
          </table:table-cell>
        </table:table-row>
        <table:table-row table:style-name="Table3.1">
          <table:table-cell table:style-name="Table3.A1" office:value-type="string">
            <text:p text:style-name="P4">Vraag gesteld op</text:p>
          </table:table-cell>
          <table:table-cell table:style-name="Table3.A1" office:value-type="string">
            <text:p text:style-name="P5">31-07-2025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11-09-2025 10:11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Schriftelijke vragen Art. 42 van D66 over Tweede Zonneveld realiseren zonder lokaal eigendom
              <text:span text:style-name="T3"/>
            </text:p>
            <text:p text:style-name="P7"/>
          </table:table-cell>
          <table:table-cell table:style-name="Table5.A2" office:value-type="string">
            <text:p text:style-name="P8">31-07-2025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119,84 KB</text:p>
          </table:table-cell>
          <table:table-cell table:style-name="Table5.A2" office:value-type="string">
            <text:p text:style-name="P33">
              <text:a xlink:type="simple" xlink:href="http://gemeenteraad.woerden.nl//Stukken/Schriftelijke-vragen-Art-42-van-D66-over-Tweede-Zonneveld-realiseren-zonder-lokaal-eigendo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schriftelijke vragen art. 42 van D66 over Tweede Zonneveld realiseren zonder lokaal eigendom
              <text:span text:style-name="T3"/>
            </text:p>
            <text:p text:style-name="P7"/>
          </table:table-cell>
          <table:table-cell table:style-name="Table5.A2" office:value-type="string">
            <text:p text:style-name="P8">11-09-2025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204,43 KB</text:p>
          </table:table-cell>
          <table:table-cell table:style-name="Table5.A2" office:value-type="string">
            <text:p text:style-name="P33">
              <text:a xlink:type="simple" xlink:href="http://gemeenteraad.woerden.nl//Stukken/Beantwoording-schriftelijke-vragen-art-42-van-D66-over-Tweede-Zonneveld-realiseren-zonder-lokaal-eigendo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114" meta:character-count="758" meta:non-whitespace-character-count="6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1043202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1043202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