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0" text:style-name="Internet_20_link" text:visited-style-name="Visited_20_Internet_20_Link">
              <text:span text:style-name="ListLabel_20_28">
                <text:span text:style-name="T8">1 Schriftelijke vragen Art. 42 Inwonersbelangen over Tijdelijke verkeersborden en afzettingen (11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0"/>
        Schriftelijke vragen Art. 42 Inwonersbelangen over Tijdelijke verkeersborden en afzettingen (11 november 2025)
        <text:bookmark-end text:name="10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Inwonersbelangen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11-11-2025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11-11-2025 11:23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Inwonersbelangen over Tijdelijke verkeersborden en afzettingen
              <text:span text:style-name="T3"/>
            </text:p>
            <text:p text:style-name="P7"/>
          </table:table-cell>
          <table:table-cell table:style-name="Table5.A2" office:value-type="string">
            <text:p text:style-name="P8">11-11-2025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423,77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Inwonersbelangen-over-Tijdelijke-verkeersborden-en-afzett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85" meta:character-count="639" meta:non-whitespace-character-count="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