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6" text:style-name="Internet_20_link" text:visited-style-name="Visited_20_Internet_20_Link">
              <text:span text:style-name="ListLabel_20_28">
                <text:span text:style-name="T8">1 Recente ontwikkelingen nationaal beleid Wonen (D66, 14 juli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6"/>
        Recente ontwikkelingen nationaal beleid Wonen (D66, 14 juli 2022)
        <text:bookmark-end text:name="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D66 | Recente ontwikkelingen nationaal beleid wonen
              <text:span text:style-name="T3"/>
            </text:p>
            <text:p text:style-name="P7"/>
          </table:table-cell>
          <table:table-cell table:style-name="Table4.A2" office:value-type="string">
            <text:p text:style-name="P8">14-07-2022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124,37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D66-Recente-ontwikkelingen-nationaal-beleid-wo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D22069654 Beantwoording vragen D66 | Recente ontwikkelingen nationaal beleid Wonen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361,04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69654-Beantwoording-vragen-D66-Recente-ontwikkelingen-nationaal-beleid-Wo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2" meta:character-count="561" meta:non-whitespace-character-count="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