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2" text:style-name="Internet_20_link" text:visited-style-name="Visited_20_Internet_20_Link">
              <text:span text:style-name="ListLabel_20_28">
                <text:span text:style-name="T8">1 Hulp aan wijk- en dorpscentra en lokale omroep door oplopende kosten van de energierekening (Inwonersbelangen, 16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2"/>
        Hulp aan wijk- en dorpscentra en lokale omroep door oplopende kosten van de energierekening (Inwonersbelangen, 16 september 2022)
        <text:bookmark-end text:name="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Hulp-aan-wijk-en-dorpscentra-en-lokale-omroep-door-oplopende-kosten-van-de-energier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D22076122 Beantwoording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260,10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6122-Beantwoording-vragen-Inwonersbelangen-Hulp-aan-wijk-en-dorpscent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806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