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5" text:style-name="Internet_20_link" text:visited-style-name="Visited_20_Internet_20_Link">
              <text:span text:style-name="ListLabel_20_28">
                <text:span text:style-name="T8">1 Aanpak Stikstof, wat is het beleid van gemeente Woerden (Inwonersbelangen, 4 juli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"/>
        Aanpak Stikstof, wat is het beleid van gemeente Woerden (Inwonersbelangen, 4 juli 2022)
        <text:bookmark-end text:name="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Inwonersbelangen | Aanpak Stikstof, wat is het beleid van gemeente Woerden?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Inwonersbelangen-Aanpak-Stikstof-wat-is-het-beleid-van-gemeente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D22068328 Beantwoording vragen Inwonersbelangen | Aanpak Stikstof, wat is het beleid van gemeente Woerden
              <text:span text:style-name="T3"/>
            </text:p>
            <text:p text:style-name="P7"/>
          </table:table-cell>
          <table:table-cell table:style-name="Table4.A2" office:value-type="string">
            <text:p text:style-name="P8">08-09-2022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345,56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68328-Beantwoording-vragen-Inwonersbelangen-Aanpak-Stikstof-wat-is-het-beleid-van-gemeente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8" meta:character-count="652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