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10:57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4" text:style-name="Internet_20_link" text:visited-style-name="Visited_20_Internet_20_Link">
              <text:span text:style-name="ListLabel_20_28">
                <text:span text:style-name="T8">1 50% van de woningen naar de eigen inwoner (LijstvanderDoes, 16 september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4"/>
        50% van de woningen naar de eigen inwoner (LijstvanderDoes, 16 september 2022)
        <text:bookmark-end text:name="8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15:39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LijstvanderDoes | 50% van de woningen naar de eigen inwoner
              <text:span text:style-name="T3"/>
            </text:p>
            <text:p text:style-name="P7"/>
          </table:table-cell>
          <table:table-cell table:style-name="Table4.A2" office:value-type="string">
            <text:p text:style-name="P8">16-09-2022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106,78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gen/Schriftelijke-vragen-LijstvanderDoes-50-van-de-woningen-naar-de-eigen-inwon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D22074235 Beantwoording vragen LijstvanderDoes | 50% van de woningen naar de eigen inwoner
              <text:span text:style-name="T3"/>
            </text:p>
            <text:p text:style-name="P7"/>
          </table:table-cell>
          <table:table-cell table:style-name="Table4.A2" office:value-type="string">
            <text:p text:style-name="P8">12-10-2022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309,48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D22074235-Beantwoording-vragen-LijstvanderDoes-50-van-de-woningen-naar-de-eigen-inwon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94" meta:character-count="603" meta:non-whitespace-character-count="5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1371893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1371893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