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18 februari t/m 21 maart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18 februari t/m 21 maart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D22056073 Raadsvoorstel wijze van afdoening ingekomen stukken 18 februari tm 21 maart 2022 (merged)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29-maart/17:30/D22056073-Raadsvoorstel-wijze-van-afdoening-ingekomen-stukken-18-februari-tm-21-maart-2022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