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10:07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7" text:style-name="Internet_20_link" text:visited-style-name="Visited_20_Internet_20_Link">
              <text:span text:style-name="ListLabel_20_28">
                <text:span text:style-name="T8">1 Verordening toeristenbelasting 2023-2024 (19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7"/>
        Verordening toeristenbelasting 2023-2024 (19 december 2022)
        <text:bookmark-end text:name="29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D22076976 Raadsbesluit - Verordening toeristenbelasting 2023-2024
              <text:span text:style-name="T3"/>
            </text:p>
            <text:p text:style-name="P7"/>
          </table:table-cell>
          <table:table-cell table:style-name="Table4.A2" office:value-type="string">
            <text:p text:style-name="P8">19-12-2022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187,40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Hamerstukken/D22076976-RB-Verordening-toeristenbelasting-2023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25" meta:non-whitespace-character-count="3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1766420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1766420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