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" w:history="1">
        <w:r>
          <w:rPr>
            <w:rFonts w:ascii="Arial" w:hAnsi="Arial" w:eastAsia="Arial" w:cs="Arial"/>
            <w:color w:val="155CAA"/>
            <w:u w:val="single"/>
          </w:rPr>
          <w:t xml:space="preserve">1 Verordening bedrijfsinvesteringszone Vastgoed Centrum Woerden 2026 D25204301 (13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"/>
      <w:r w:rsidRPr="00A448AC">
        <w:rPr>
          <w:rFonts w:ascii="Arial" w:hAnsi="Arial" w:cs="Arial"/>
          <w:b/>
          <w:bCs/>
          <w:color w:val="303F4C"/>
          <w:lang w:val="en-US"/>
        </w:rPr>
        <w:t>Verordening bedrijfsinvesteringszone Vastgoed Centrum Woerden 2026 D25204301 (13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bedrijfsinvesteringszone Vastgoed Centrum Woerden 2026 D25204301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bedrijfsinvesteringszone Vastgoed Centrum Woerden 2026 D25204304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erordening-bedrijfsinvesteringszone-Vastgoed-Centrum-Woerden-2026-D25204301.PDF" TargetMode="External" /><Relationship Id="rId25" Type="http://schemas.openxmlformats.org/officeDocument/2006/relationships/hyperlink" Target="http://gemeenteraad.woerden.nl//Stukken/Raadsbesluit-Verordening-bedrijfsinvesteringszone-Vastgoed-Centrum-Woerden-2026-D252043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