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" text:style-name="Internet_20_link" text:visited-style-name="Visited_20_Internet_20_Link">
              <text:span text:style-name="ListLabel_20_28">
                <text:span text:style-name="T8">1 Referendumverordening gemeente Woerden 2024 (9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"/>
        Referendumverordening gemeente Woerden 2024 (9 februari 2024)
        <text:bookmark-end text:name="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09-02-2024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Referendumverordening gemeente Woerden 2024 - D24133455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191,75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Referendumverordening-gemeente-Woerden-2024-D241334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Referendumverordening gemeente Woerden 2024 - D24133736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Referendumverordening-gemeente-Woerden-2024-D241337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Concept-Reglement vergaderingen en werkzaamheden van de referendumcommissie van de gemeente Woerden - D24133461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71,45 KB</text:p>
          </table:table-cell>
          <table:table-cell table:style-name="Table4.A2" office:value-type="string">
            <text:p text:style-name="P33">
              <text:a xlink:type="simple" xlink:href="http://gemeenteraad.woerden.nl//Stukken/Bijlage-1-Concept-Reglement-vergaderingen-en-werkzaamheden-van-de-referendumcommissie-van-de-gemeente-Woerden-D241334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3" meta:character-count="684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