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6" w:history="1">
        <w:r>
          <w:rPr>
            <w:rFonts w:ascii="Arial" w:hAnsi="Arial" w:eastAsia="Arial" w:cs="Arial"/>
            <w:color w:val="155CAA"/>
            <w:u w:val="single"/>
          </w:rPr>
          <w:t xml:space="preserve">1 Ontheffing woonplaatsvereiste wethouder Luca (14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6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wethouder Luca (14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Ontheffing woonplaatsvereiste wethouder Luca D25168867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Ontheffing woonplaatsvereiste wethouder Luca D25168880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verzoek ontheffing vereiste ingezetenschap - R. Luca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Ontheffing-woonplaatsvereiste-wethouder-Luca-D25168867.pdf" TargetMode="External" /><Relationship Id="rId25" Type="http://schemas.openxmlformats.org/officeDocument/2006/relationships/hyperlink" Target="http://gemeenteraad.woerden.nl//Stukken/Raadsbesluit-Ontheffing-woonplaatsvereiste-wethouder-Luca-D25168880-ondertekend.pdf" TargetMode="External" /><Relationship Id="rId26" Type="http://schemas.openxmlformats.org/officeDocument/2006/relationships/hyperlink" Target="http://gemeenteraad.woerden.nl//Stukken/Brief-inzake-verzoek-ontheffing-vereiste-ingezetenschap-R-Luc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