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11" text:style-name="Internet_20_link" text:visited-style-name="Visited_20_Internet_20_Link">
              <text:span text:style-name="ListLabel_20_28">
                <text:span text:style-name="T8">1 Investeringen in balans (24 april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11"/>
        Investeringen in balans (24 april 2024)
        <text:bookmark-end text:name="6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24-04-2024 11:59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Investeringen in Balans D24141809
              <text:span text:style-name="T3"/>
            </text:p>
            <text:p text:style-name="P7"/>
          </table:table-cell>
          <table:table-cell table:style-name="Table4.A2" office:value-type="string">
            <text:p text:style-name="P8">24-04-2024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217,20 KB</text:p>
          </table:table-cell>
          <table:table-cell table:style-name="Table4.A2" office:value-type="string">
            <text:p text:style-name="P33">
              <text:a xlink:type="simple" xlink:href="http://gemeenteraad.woerden.nl//Stukken/Raadvoorstel/Raadsvoorstel-Investeringen-in-Balans-D241418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(geamendeerd) Investeringen in balans D24142242 -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23-05-2024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183,33 KB</text:p>
          </table:table-cell>
          <table:table-cell table:style-name="Table4.A2" office:value-type="string">
            <text:p text:style-name="P33">
              <text:a xlink:type="simple" xlink:href="http://gemeenteraad.woerden.nl//Stukken/Raadsbesluit/Raadsbesluit-geamendeerd-Investeringen-in-balans-D24142242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Notitie Investeringen in Balans 04-04-2024
              <text:span text:style-name="T3"/>
            </text:p>
            <text:p text:style-name="P7"/>
          </table:table-cell>
          <table:table-cell table:style-name="Table4.A2" office:value-type="string">
            <text:p text:style-name="P8">02-04-2024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341,33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4/04-april/20:00/Themabijeenkomst-Investeringen-in-balans/Notitie-Investeringen-in-Balans-04-04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Inhoudelijke criteria eenmalige investeringen
              <text:span text:style-name="T3"/>
            </text:p>
            <text:p text:style-name="P7"/>
          </table:table-cell>
          <table:table-cell table:style-name="Table4.A2" office:value-type="string">
            <text:p text:style-name="P8">02-04-2024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141,93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4/04-april/20:00/Themabijeenkomst-Investeringen-in-balans/Inhoudelijke-criteria-eenmalige-invester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Aanpak verlaging schuldquote (5 april 2023)
              <text:span text:style-name="T3"/>
            </text:p>
            <text:p text:style-name="P7"/>
          </table:table-cell>
          <table:table-cell table:style-name="Table4.A2" office:value-type="string">
            <text:p text:style-name="P8">05-04-2023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337,04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D23094497-Raadsinformatiebrief-Aanpak-verlaging-schuldquo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03" meta:character-count="699" meta:non-whitespace-character-count="6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