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5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recreatieplas Cattenbroek en natuurplas Breeveld (14 oktober 2014)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5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recreatieplas Cattenbroek en natuurplas Breeveld (14 oktober 2014)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14r.00427 rv vaststelling bp cattenbroekerplas en natuurplas breeveld_merged.pdf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141127 rb 14r.00547 vaststelling bp recreatieplas cattenbroek en natuurplas breeveld.pdf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Commissie-Ruimte/2014/13-november/20:00/Raadsvoorstel-14R-00427-inzake-vaststellen-bestemmingsplan-Cattenbroekerplas/14r-00427-rv-vaststelling-bp-cattenbroekerplas-en-natuurplas-breeveld-merged-1.pdf" TargetMode="External" /><Relationship Id="rId25" Type="http://schemas.openxmlformats.org/officeDocument/2006/relationships/hyperlink" Target="http://gemeenteraad.woerden.nl//Vergaderingen/Gemeenteraad/2014/27-november/20:00/Raadsvoorstel-14R-00427-inzake-vaststellen-bestemmingsplan-Cattenbroekerplas/141127-rb-14r-00547-vaststelling-bp-recreatieplas-cattenbroek-en-natuurplas-bree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