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9" w:history="1">
        <w:r>
          <w:rPr>
            <w:rFonts w:ascii="Arial" w:hAnsi="Arial" w:eastAsia="Arial" w:cs="Arial"/>
            <w:color w:val="155CAA"/>
            <w:u w:val="single"/>
          </w:rPr>
          <w:t xml:space="preserve">1 Uitvoering- en handhavingstrategie Regio Utrecht 2026 (Woerden) D25202960 (19 november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9"/>
      <w:r w:rsidRPr="00A448AC">
        <w:rPr>
          <w:rFonts w:ascii="Arial" w:hAnsi="Arial" w:cs="Arial"/>
          <w:b/>
          <w:bCs/>
          <w:color w:val="303F4C"/>
          <w:lang w:val="en-US"/>
        </w:rPr>
        <w:t>Uitvoering- en handhavingstrategie Regio Utrecht 2026 (Woerden) D25202960 (19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Uitvoering- en handhavingstrategie Regio Utrecht 2026 (Woerden) D25202960 (19 november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UenH strategie regio Utrecht 2026 definiteve versie 15 juli 2025_2 D25203063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-Uitvoering-en-handhavingstrategie-Regio-Utrecht-2026-Woerden-D25202960-19-november-2025.PDF" TargetMode="External" /><Relationship Id="rId25" Type="http://schemas.openxmlformats.org/officeDocument/2006/relationships/hyperlink" Target="http://gemeenteraad.woerden.nl//Stukken/Bijlage-1-UenH-strategie-regio-Utrecht-2026-definiteve-versie-15-juli-2025-2-D2520306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