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15" w:history="1">
        <w:r>
          <w:rPr>
            <w:rFonts w:ascii="Arial" w:hAnsi="Arial" w:eastAsia="Arial" w:cs="Arial"/>
            <w:color w:val="155CAA"/>
            <w:u w:val="single"/>
          </w:rPr>
          <w:t xml:space="preserve">1 Standpunten van het college van Woerden en Oudewater over de ambtelijke samenwerking (11 september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15"/>
      <w:r w:rsidRPr="00A448AC">
        <w:rPr>
          <w:rFonts w:ascii="Arial" w:hAnsi="Arial" w:cs="Arial"/>
          <w:b/>
          <w:bCs/>
          <w:color w:val="303F4C"/>
          <w:lang w:val="en-US"/>
        </w:rPr>
        <w:t>Standpunten van het college van Woerden en Oudewater over de ambtelijke samenwerking (11 september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 15:00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Standpunten van het college van Woerden en Oudewater over de ambtelijke samenwerking D24154887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Eindrapport evaluatie van de DVO Woerden - Oudewater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IB-Standpunten-van-het-college-van-Woerden-en-Oudewater-over-de-ambtelijke-samenwerking-D24154887.pdf" TargetMode="External" /><Relationship Id="rId25" Type="http://schemas.openxmlformats.org/officeDocument/2006/relationships/hyperlink" Target="http://gemeenteraad.woerden.nl//Stukken/Bijlage-1-Eindrapport-evaluatie-van-de-DVO-Woerden-Oudewat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