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7" w:history="1">
        <w:r>
          <w:rPr>
            <w:rFonts w:ascii="Arial" w:hAnsi="Arial" w:eastAsia="Arial" w:cs="Arial"/>
            <w:color w:val="155CAA"/>
            <w:u w:val="single"/>
          </w:rPr>
          <w:t xml:space="preserve">1 Organisatie Woerden toelichting op control en beheersing en opgenomen posten in concept programmabegroting D25205112 (7 november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7"/>
      <w:r w:rsidRPr="00A448AC">
        <w:rPr>
          <w:rFonts w:ascii="Arial" w:hAnsi="Arial" w:cs="Arial"/>
          <w:b/>
          <w:bCs/>
          <w:color w:val="303F4C"/>
          <w:lang w:val="en-US"/>
        </w:rPr>
        <w:t>Organisatie Woerden toelichting op control en beheersing en opgenomen posten in concept programmabegroting D25205112 (7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15:10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Organisatie Woerden toelichting op control en beheersing en opgenomen posten in concept programmabegroting D25205112 (7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Inhuurnorm Gemeente Woerden D25205125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-Organisatie-Woerden-toelichting-op-control-en-beheersing-en-opgenomen-posten-in-concept-programmabegroting-D25205112-7-november-2025.PDF" TargetMode="External" /><Relationship Id="rId25" Type="http://schemas.openxmlformats.org/officeDocument/2006/relationships/hyperlink" Target="http://gemeenteraad.woerden.nl//Stukken/Bijlage-1-Inhuurnorm-Gemeente-Woerden-D252051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