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4" text:style-name="Internet_20_link" text:visited-style-name="Visited_20_Internet_20_Link">
              <text:span text:style-name="ListLabel_20_28">
                <text:span text:style-name="T8">1 Monitor Sociaal Domein en investeringsplan Sociaal Domein 2025 D25198110 (24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4"/>
        Monitor Sociaal Domein en investeringsplan Sociaal Domein 2025 D25198110 (24 september 2025)
        <text:bookmark-end text:name="10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24-09-2025 10:28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Monitor Sociaal Domein en investeringsplan Sociaal Domein 2025 D25198110 (24 september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5,32 MB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Monitor-Sociaal-Domein-en-investeringsplan-Sociaal-Domein-2025-D25198110-24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43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