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3" text:style-name="Internet_20_link" text:visited-style-name="Visited_20_Internet_20_Link">
              <text:span text:style-name="ListLabel_20_28">
                <text:span text:style-name="T8">1 Huidig standpunt van het college van burgemeester en wethouders ten aanzien van carbidschieten naar aanleiding van toezegging R 14-9-2023 (14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3"/>
        Huidig standpunt van het college van burgemeester en wethouders ten aanzien van carbidschieten naar aanleiding van toezegging R 14-9-2023 (14 december 2023)
        <text:bookmark-end text:name="4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15-12-2023 10:05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Huidig standpunt van het college van B&amp;amp;W ten aanzien van carbidschieten naar aanleiding van toezegging R 14-9-2023 - D23125419
              <text:span text:style-name="T3"/>
            </text:p>
            <text:p text:style-name="P7"/>
          </table:table-cell>
          <table:table-cell table:style-name="Table4.A2" office:value-type="string">
            <text:p text:style-name="P8">14-12-2023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Huidig-standpunt-van-het-college-van-B-W-ten-aanzien-van-carbidschieten-naar-aanleiding-van-toezegging-R-14-9-2023-D23125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94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