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2" w:history="1">
        <w:r>
          <w:rPr>
            <w:rFonts w:ascii="Arial" w:hAnsi="Arial" w:eastAsia="Arial" w:cs="Arial"/>
            <w:color w:val="155CAA"/>
            <w:u w:val="single"/>
          </w:rPr>
          <w:t xml:space="preserve">1 Financiële verantwoording stopzetting Rembrandtbrug (9 oktober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2"/>
      <w:r w:rsidRPr="00A448AC">
        <w:rPr>
          <w:rFonts w:ascii="Arial" w:hAnsi="Arial" w:cs="Arial"/>
          <w:b/>
          <w:bCs/>
          <w:color w:val="303F4C"/>
          <w:lang w:val="en-US"/>
        </w:rPr>
        <w:t>Financiële verantwoording stopzetting Rembrandtbrug (9 oktober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Financiële verantwoording stopzetting Rembrandtbrug D24158118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Financiele verantwoording stopzetting Rembrandtbrug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Financiele-verantwoording-stopzetting-Rembrandtbrug-D24158118.pdf" TargetMode="External" /><Relationship Id="rId25" Type="http://schemas.openxmlformats.org/officeDocument/2006/relationships/hyperlink" Target="http://gemeenteraad.woerden.nl//Vergaderingen/Gemeenteraad/2024/11-juli/16:00/Raadsvoorstel-Kadernota-2025-Woerden-1/Motie-Financiele-verantwoording-stopzetting-Rembrandtbru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