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0" w:history="1">
        <w:r>
          <w:rPr>
            <w:rFonts w:ascii="Arial" w:hAnsi="Arial" w:eastAsia="Arial" w:cs="Arial"/>
            <w:color w:val="155CAA"/>
            <w:u w:val="single"/>
          </w:rPr>
          <w:t xml:space="preserve">1 Delen beeldmateriaal lichte ophoogmaterialen (30 september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0"/>
      <w:r w:rsidRPr="00A448AC">
        <w:rPr>
          <w:rFonts w:ascii="Arial" w:hAnsi="Arial" w:cs="Arial"/>
          <w:b/>
          <w:bCs/>
          <w:color w:val="303F4C"/>
          <w:lang w:val="en-US"/>
        </w:rPr>
        <w:t>Delen beeldmateriaal lichte ophoogmaterialen (30 september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30-09-2024 11:28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Delen beeldmateriaal lichte ophoogmaterialen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PDF Beeldmateriaal lichte ophoogmaterialen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IB-Delen-beeldmateriaal-lichte-ophoogmaterialen.pdf" TargetMode="External" /><Relationship Id="rId25" Type="http://schemas.openxmlformats.org/officeDocument/2006/relationships/hyperlink" Target="http://gemeenteraad.woerden.nl//Stukken/PDF-Beeldmateriaal-lichte-ophoogmateria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