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" w:history="1">
        <w:r>
          <w:rPr>
            <w:rFonts w:ascii="Arial" w:hAnsi="Arial" w:eastAsia="Arial" w:cs="Arial"/>
            <w:color w:val="155CAA"/>
            <w:u w:val="single"/>
          </w:rPr>
          <w:t xml:space="preserve">1 Algemene voorzieningen Sociaal domein
Kennisnemen (7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"/>
      <w:r w:rsidRPr="00A448AC">
        <w:rPr>
          <w:rFonts w:ascii="Arial" w:hAnsi="Arial" w:cs="Arial"/>
          <w:b/>
          <w:bCs/>
          <w:color w:val="303F4C"/>
          <w:lang w:val="en-US"/>
        </w:rPr>
        <w:t>Algemene voorzieningen Sociaal domein
Kennisnemen (7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Algemene voorzieningen Sociaal domein D23120160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Algemene-voorzieningen-Sociaal-domein-D231201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