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09:11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6" text:style-name="Internet_20_link" text:visited-style-name="Visited_20_Internet_20_Link">
              <text:span text:style-name="ListLabel_20_28">
                <text:span text:style-name="T8">
                  1 Toekomstvisie herontwikkeling St. Antonius Terrein Woerden 
                  <text:s/>
                  (2 februari 2022)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6"/>
        Toekomstvisie herontwikkeling St. Antonius Terrein Woerden 
        <text:s/>
        (2 februari 2022)
        <text:bookmark-end text:name="105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27-10-2025 14:12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D22048196 Raadsinformatiebrief | Toekomstvisie herontwikkeling St. Antonius Terrein Woerden
              <text:span text:style-name="T3"/>
            </text:p>
            <text:p text:style-name="P7"/>
          </table:table-cell>
          <table:table-cell table:style-name="Table4.A2" office:value-type="string">
            <text:p text:style-name="P8">02-02-2022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782,02 KB</text:p>
          </table:table-cell>
          <table:table-cell table:style-name="Table4.A2" office:value-type="string">
            <text:p text:style-name="P33">
              <text:a xlink:type="simple" xlink:href="http://gemeenteraad.woerden.nl//stukken/Stukken-van-college-aan-raad/D22048196-Raadsinformatiebrief-Toekomstvisie-herontwikkeling-St-Antonius-Terrein-Woe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5" meta:character-count="493" meta:non-whitespace-character-count="4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700122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700122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