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20.021266 Staat van Utrecht | Gezond bewegen in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1266-Staat-van-Utrecht-Gezond-bewegen-in-provincie-Ut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20.021313 VNG Ledenbrief | Actuele ontwikkelingen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1313-VNG-Ledenbrief-Actuele-ontwikkelingen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20.021311 VNG Ledenbrief | Maatregelen beheersing kosten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1311-VNG-Ledenbrief-Maatregelen-beheersing-kosten-abonnementsta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20U.17896 Griffie | Aanmelding fractieassistent de heer Hans Tuit (VVD)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U-17896-Griffie-Aanmelding-fractieassistent-de-heer-Hans-T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20.021129 Provincie Utrecht | Taakstelling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1129-Provincie-Utrecht-Taakstelling-huisvesting-vergunning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20.021156 VNG Ledenbrief | Inwerkingtreding Tijdelijke wet maatregelen Covid-19 (Twm)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1156-VNG-Ledenbrief-Inwerkingtreding-Tijdelijke-wet-maatregelen-Covid-19-Tw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20.021132 Ministerie van Binnenlandse Zaken en Koninkrijksrelaties | Tijdelijke wet maatregelen Covid-19 (Twm)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1132-Ministerie-van-Binnenlandse-Zaken-en-Koninkrijksrelaties-Tijdelijke-wet-maatregelen-Covid-19-Tw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20R.01152 Raadsvoorstel Rekenkameronderzoek | Duurzaam Inkopen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R-01152-Raadsvoorstel-Rekenkameronderzoek-Duurzaam-Inkopen-gemeente-Woer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20.020513 Beroeps Organisatie Kunstenaars | Oproep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0513-Beroeps-Organisatie-Kunstenaars-Oproep-Kunst-en-Cult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20.020422 VNG Ledenbrief |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0422-VNG-Ledenbrief-Ondersteuning-gedupeerde-ouders-kinderopvangtoeslagaffai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20.020220 Raad voor het Openbaar Bestuur | Advies goede ondersteuning, sterke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0220-Raad-voor-het-Openbaar-Bestuur-Advies-goede-ondersteuning-sterke-democr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20.020151 VNG Ledenbrief | Ontwikkelingen onderwijshuisvesting en wijziging VNG Model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20151-VNG-Ledenbrief-Ontwikkelingen-onderwijshuisvesting-en-wijziging-VNG-Mod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20.019941 VNG | Corona ledennieuwsbrief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9941-VNG-Corona-ledennieuwbr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20.019828 VNG Ledenbrief | Voortgang ketelveldnorm levensloopfunctie en beveiligde intensieve 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9828-VNG-Ledenbrief-Voortgang-ketelveldnorm-levensloopfunctie-en-beveiligde-intensieve-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2" meta:character-count="1637" meta:non-whitespace-character-count="1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